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149F" w:rsidRPr="009344AC" w:rsidRDefault="0052149F" w:rsidP="0052149F">
      <w:pPr>
        <w:pStyle w:val="Titlu1"/>
        <w:spacing w:before="0" w:line="240" w:lineRule="auto"/>
        <w:jc w:val="both"/>
        <w:rPr>
          <w:rFonts w:ascii="Arial Narrow" w:eastAsia="Calibri" w:hAnsi="Arial Narrow" w:cs="Times New Roman"/>
          <w:b/>
          <w:color w:val="244061" w:themeColor="accent1" w:themeShade="80"/>
          <w:sz w:val="22"/>
          <w:szCs w:val="22"/>
        </w:rPr>
      </w:pPr>
      <w:bookmarkStart w:id="0" w:name="_Toc458077189"/>
      <w:bookmarkStart w:id="1" w:name="_Toc457553731"/>
      <w:r w:rsidRPr="009344AC">
        <w:rPr>
          <w:rFonts w:ascii="Arial Narrow" w:eastAsia="Calibri" w:hAnsi="Arial Narrow" w:cs="Times New Roman"/>
          <w:b/>
          <w:color w:val="244061" w:themeColor="accent1" w:themeShade="80"/>
          <w:sz w:val="22"/>
          <w:szCs w:val="22"/>
        </w:rPr>
        <w:t>ANEXA 1 – CADRUL STRATEGIC ȘI LEGAL RELEVANT</w:t>
      </w:r>
      <w:bookmarkEnd w:id="0"/>
      <w:bookmarkEnd w:id="1"/>
      <w:r w:rsidRPr="009344AC">
        <w:rPr>
          <w:rFonts w:ascii="Arial Narrow" w:eastAsia="Calibri" w:hAnsi="Arial Narrow" w:cs="Times New Roman"/>
          <w:b/>
          <w:color w:val="244061" w:themeColor="accent1" w:themeShade="80"/>
          <w:sz w:val="22"/>
          <w:szCs w:val="22"/>
        </w:rPr>
        <w:t xml:space="preserve"> </w:t>
      </w:r>
    </w:p>
    <w:p w:rsidR="0052149F" w:rsidRPr="009344AC" w:rsidRDefault="0052149F" w:rsidP="000E635C">
      <w:pPr>
        <w:pStyle w:val="Titlu1"/>
        <w:spacing w:before="0" w:line="240" w:lineRule="auto"/>
        <w:jc w:val="both"/>
        <w:rPr>
          <w:rFonts w:ascii="Arial Narrow" w:hAnsi="Arial Narrow"/>
          <w:b/>
          <w:color w:val="244061" w:themeColor="accent1" w:themeShade="80"/>
          <w:sz w:val="22"/>
          <w:szCs w:val="22"/>
        </w:rPr>
      </w:pPr>
    </w:p>
    <w:p w:rsidR="006E5F18" w:rsidRPr="009344AC" w:rsidRDefault="006E5F18" w:rsidP="000E635C">
      <w:pPr>
        <w:keepNext/>
        <w:keepLines/>
        <w:suppressAutoHyphens/>
        <w:spacing w:after="0" w:line="240" w:lineRule="auto"/>
        <w:jc w:val="both"/>
        <w:outlineLvl w:val="1"/>
        <w:rPr>
          <w:rFonts w:ascii="Arial Narrow" w:hAnsi="Arial Narrow"/>
          <w:b/>
          <w:color w:val="244061" w:themeColor="accent1" w:themeShade="80"/>
        </w:rPr>
      </w:pPr>
      <w:bookmarkStart w:id="2" w:name="_Toc447534442"/>
    </w:p>
    <w:p w:rsidR="00FA0F3A" w:rsidRPr="009344AC" w:rsidRDefault="0078528A" w:rsidP="000E635C">
      <w:pPr>
        <w:keepNext/>
        <w:keepLines/>
        <w:suppressAutoHyphens/>
        <w:spacing w:after="0" w:line="240" w:lineRule="auto"/>
        <w:jc w:val="both"/>
        <w:outlineLvl w:val="1"/>
        <w:rPr>
          <w:rFonts w:ascii="Arial Narrow" w:hAnsi="Arial Narrow"/>
          <w:b/>
          <w:color w:val="244061" w:themeColor="accent1" w:themeShade="80"/>
        </w:rPr>
      </w:pPr>
      <w:r w:rsidRPr="009344AC">
        <w:rPr>
          <w:rFonts w:ascii="Arial Narrow" w:hAnsi="Arial Narrow"/>
          <w:b/>
          <w:color w:val="244061" w:themeColor="accent1" w:themeShade="80"/>
        </w:rPr>
        <w:t>CADRUL STRATEGIC RELEVANT</w:t>
      </w:r>
      <w:bookmarkEnd w:id="2"/>
    </w:p>
    <w:p w:rsidR="0078528A" w:rsidRPr="009344AC" w:rsidRDefault="0078528A" w:rsidP="000E635C">
      <w:pPr>
        <w:keepNext/>
        <w:keepLines/>
        <w:suppressAutoHyphens/>
        <w:spacing w:after="0" w:line="240" w:lineRule="auto"/>
        <w:jc w:val="both"/>
        <w:outlineLvl w:val="1"/>
        <w:rPr>
          <w:rFonts w:ascii="Arial Narrow" w:eastAsia="SimSun" w:hAnsi="Arial Narrow" w:cs="Times New Roman"/>
          <w:b/>
          <w:color w:val="244061" w:themeColor="accent1" w:themeShade="80"/>
        </w:rPr>
      </w:pPr>
    </w:p>
    <w:p w:rsidR="00FA0F3A" w:rsidRPr="009344AC" w:rsidRDefault="00FA0F3A" w:rsidP="000E635C">
      <w:pPr>
        <w:numPr>
          <w:ilvl w:val="0"/>
          <w:numId w:val="1"/>
        </w:numPr>
        <w:spacing w:after="0" w:line="240" w:lineRule="auto"/>
        <w:jc w:val="both"/>
        <w:rPr>
          <w:rFonts w:ascii="Arial Narrow" w:eastAsia="Calibri" w:hAnsi="Arial Narrow" w:cs="Times New Roman"/>
          <w:b/>
          <w:color w:val="244061" w:themeColor="accent1" w:themeShade="80"/>
        </w:rPr>
      </w:pPr>
      <w:r w:rsidRPr="009344AC">
        <w:rPr>
          <w:rFonts w:ascii="Arial Narrow" w:eastAsia="Calibri" w:hAnsi="Arial Narrow" w:cs="Times New Roman"/>
          <w:b/>
          <w:color w:val="244061" w:themeColor="accent1" w:themeShade="80"/>
        </w:rPr>
        <w:t xml:space="preserve">Strategia Guvernului României de Incluziune a Cetățenilor Români aparținând Minorității Romilor 2012-2020 </w:t>
      </w:r>
    </w:p>
    <w:p w:rsidR="00FA0F3A" w:rsidRPr="009344AC" w:rsidRDefault="00FA0F3A" w:rsidP="000E635C">
      <w:pPr>
        <w:widowControl w:val="0"/>
        <w:spacing w:after="0" w:line="240" w:lineRule="auto"/>
        <w:ind w:right="95"/>
        <w:jc w:val="both"/>
        <w:rPr>
          <w:rFonts w:ascii="Arial Narrow" w:eastAsia="Calibri" w:hAnsi="Arial Narrow" w:cs="Times New Roman"/>
          <w:color w:val="244061" w:themeColor="accent1" w:themeShade="80"/>
        </w:rPr>
      </w:pPr>
      <w:r w:rsidRPr="009344AC">
        <w:rPr>
          <w:rFonts w:ascii="Arial Narrow" w:eastAsia="Calibri" w:hAnsi="Arial Narrow" w:cs="Times New Roman"/>
          <w:color w:val="244061" w:themeColor="accent1" w:themeShade="80"/>
        </w:rPr>
        <w:t>http://www.anr.gov.ro/docs/Site2014/Strategie/Strategie_final_18-11-2014.pdf</w:t>
      </w:r>
    </w:p>
    <w:p w:rsidR="00FA0F3A" w:rsidRPr="009344AC" w:rsidRDefault="00FA0F3A" w:rsidP="000E635C">
      <w:pPr>
        <w:numPr>
          <w:ilvl w:val="0"/>
          <w:numId w:val="1"/>
        </w:numPr>
        <w:spacing w:after="0" w:line="240" w:lineRule="auto"/>
        <w:jc w:val="both"/>
        <w:rPr>
          <w:rFonts w:ascii="Arial Narrow" w:eastAsia="Calibri" w:hAnsi="Arial Narrow" w:cs="Times New Roman"/>
          <w:b/>
          <w:color w:val="244061" w:themeColor="accent1" w:themeShade="80"/>
        </w:rPr>
      </w:pPr>
      <w:r w:rsidRPr="009344AC">
        <w:rPr>
          <w:rFonts w:ascii="Arial Narrow" w:eastAsia="Calibri" w:hAnsi="Arial Narrow" w:cs="Times New Roman"/>
          <w:b/>
          <w:color w:val="244061" w:themeColor="accent1" w:themeShade="80"/>
        </w:rPr>
        <w:t>Strategia Națională privind Incluziunea Socială și Reducerea Sărăciei pentru perioada 2015-2020</w:t>
      </w:r>
    </w:p>
    <w:p w:rsidR="00FA0F3A" w:rsidRPr="009344AC" w:rsidRDefault="00FA0F3A" w:rsidP="000E635C">
      <w:pPr>
        <w:widowControl w:val="0"/>
        <w:spacing w:after="0" w:line="240" w:lineRule="auto"/>
        <w:ind w:right="95"/>
        <w:jc w:val="both"/>
        <w:rPr>
          <w:rFonts w:ascii="Arial Narrow" w:eastAsia="Calibri" w:hAnsi="Arial Narrow" w:cs="Times New Roman"/>
          <w:color w:val="244061" w:themeColor="accent1" w:themeShade="80"/>
        </w:rPr>
      </w:pPr>
      <w:r w:rsidRPr="009344AC">
        <w:rPr>
          <w:rFonts w:ascii="Arial Narrow" w:eastAsia="Calibri" w:hAnsi="Arial Narrow" w:cs="Times New Roman"/>
          <w:color w:val="244061" w:themeColor="accent1" w:themeShade="80"/>
        </w:rPr>
        <w:t>http://www.mmuncii.ro/j33/images/Documente/Familie/2016/StrategyVol1RO_web.pdf</w:t>
      </w:r>
    </w:p>
    <w:p w:rsidR="00FA0F3A" w:rsidRPr="009344AC" w:rsidRDefault="00FA0F3A" w:rsidP="000E635C">
      <w:pPr>
        <w:numPr>
          <w:ilvl w:val="0"/>
          <w:numId w:val="1"/>
        </w:numPr>
        <w:spacing w:after="0" w:line="240" w:lineRule="auto"/>
        <w:jc w:val="both"/>
        <w:rPr>
          <w:rFonts w:ascii="Arial Narrow" w:eastAsia="Calibri" w:hAnsi="Arial Narrow" w:cs="Times New Roman"/>
          <w:b/>
          <w:color w:val="244061" w:themeColor="accent1" w:themeShade="80"/>
        </w:rPr>
      </w:pPr>
      <w:r w:rsidRPr="009344AC">
        <w:rPr>
          <w:rFonts w:ascii="Arial Narrow" w:eastAsia="Calibri" w:hAnsi="Arial Narrow" w:cs="Times New Roman"/>
          <w:b/>
          <w:color w:val="244061" w:themeColor="accent1" w:themeShade="80"/>
        </w:rPr>
        <w:t>Strategia Națională pentru Ocuparea Forței de Muncă (SNOFM) 2014-2020</w:t>
      </w:r>
    </w:p>
    <w:p w:rsidR="00FA0F3A" w:rsidRPr="009344AC" w:rsidRDefault="008C4406" w:rsidP="000E635C">
      <w:pPr>
        <w:spacing w:after="0" w:line="240" w:lineRule="auto"/>
        <w:jc w:val="both"/>
        <w:rPr>
          <w:rFonts w:ascii="Arial Narrow" w:eastAsia="Calibri" w:hAnsi="Arial Narrow" w:cs="Times New Roman"/>
          <w:color w:val="244061" w:themeColor="accent1" w:themeShade="80"/>
        </w:rPr>
      </w:pPr>
      <w:hyperlink r:id="rId9" w:history="1">
        <w:r w:rsidR="00FA0F3A" w:rsidRPr="009344AC">
          <w:rPr>
            <w:rFonts w:ascii="Arial Narrow" w:eastAsia="Calibri" w:hAnsi="Arial Narrow" w:cs="Times New Roman"/>
            <w:color w:val="244061" w:themeColor="accent1" w:themeShade="80"/>
          </w:rPr>
          <w:t>http://www.mmuncii.ro/j33/images/Documente/Munca/2014-DOES/2014-01-31_Anexa1_Strategia_de_Ocupare.pdf</w:t>
        </w:r>
      </w:hyperlink>
      <w:r w:rsidR="00FA0F3A" w:rsidRPr="009344AC">
        <w:rPr>
          <w:rFonts w:ascii="Arial Narrow" w:eastAsia="Calibri" w:hAnsi="Arial Narrow" w:cs="Times New Roman"/>
          <w:color w:val="244061" w:themeColor="accent1" w:themeShade="80"/>
        </w:rPr>
        <w:t xml:space="preserve"> </w:t>
      </w:r>
    </w:p>
    <w:p w:rsidR="00FA0F3A" w:rsidRPr="009344AC" w:rsidRDefault="00FA0F3A" w:rsidP="000E635C">
      <w:pPr>
        <w:numPr>
          <w:ilvl w:val="0"/>
          <w:numId w:val="1"/>
        </w:numPr>
        <w:spacing w:after="0" w:line="240" w:lineRule="auto"/>
        <w:jc w:val="both"/>
        <w:rPr>
          <w:rFonts w:ascii="Arial Narrow" w:eastAsia="Calibri" w:hAnsi="Arial Narrow" w:cs="Times New Roman"/>
          <w:b/>
          <w:color w:val="244061" w:themeColor="accent1" w:themeShade="80"/>
        </w:rPr>
      </w:pPr>
      <w:r w:rsidRPr="009344AC">
        <w:rPr>
          <w:rFonts w:ascii="Arial Narrow" w:eastAsia="Calibri" w:hAnsi="Arial Narrow" w:cs="Times New Roman"/>
          <w:b/>
          <w:color w:val="244061" w:themeColor="accent1" w:themeShade="80"/>
        </w:rPr>
        <w:t>Strategia Națională pentru Sănătatea Mintală a Copilului și Adolescentului 2015-2020</w:t>
      </w:r>
    </w:p>
    <w:p w:rsidR="00FA0F3A" w:rsidRPr="009344AC" w:rsidRDefault="00FA0F3A" w:rsidP="000E635C">
      <w:pPr>
        <w:spacing w:after="0" w:line="240" w:lineRule="auto"/>
        <w:jc w:val="both"/>
        <w:rPr>
          <w:rFonts w:ascii="Arial Narrow" w:eastAsia="Calibri" w:hAnsi="Arial Narrow" w:cs="Times New Roman"/>
          <w:color w:val="244061" w:themeColor="accent1" w:themeShade="80"/>
        </w:rPr>
      </w:pPr>
      <w:r w:rsidRPr="009344AC">
        <w:rPr>
          <w:rFonts w:ascii="Arial Narrow" w:eastAsia="Calibri" w:hAnsi="Arial Narrow" w:cs="Times New Roman"/>
          <w:color w:val="244061" w:themeColor="accent1" w:themeShade="80"/>
        </w:rPr>
        <w:t>http://www.ms.ro/documente/Strategia%20nationala%20a%20copilului%20si%20adolescentului_1189_2404.pdf</w:t>
      </w:r>
    </w:p>
    <w:p w:rsidR="00FA0F3A" w:rsidRPr="009344AC" w:rsidRDefault="00FA0F3A" w:rsidP="000E635C">
      <w:pPr>
        <w:numPr>
          <w:ilvl w:val="0"/>
          <w:numId w:val="1"/>
        </w:numPr>
        <w:spacing w:after="0" w:line="240" w:lineRule="auto"/>
        <w:jc w:val="both"/>
        <w:rPr>
          <w:rFonts w:ascii="Arial Narrow" w:eastAsia="Calibri" w:hAnsi="Arial Narrow" w:cs="Times New Roman"/>
          <w:b/>
          <w:color w:val="244061" w:themeColor="accent1" w:themeShade="80"/>
        </w:rPr>
      </w:pPr>
      <w:r w:rsidRPr="009344AC">
        <w:rPr>
          <w:rFonts w:ascii="Arial Narrow" w:eastAsia="Calibri" w:hAnsi="Arial Narrow" w:cs="Times New Roman"/>
          <w:b/>
          <w:color w:val="244061" w:themeColor="accent1" w:themeShade="80"/>
        </w:rPr>
        <w:t>Strategia Națională privind Incluziunea Socială a Persoanelor cu Dizabilități 2014-2020</w:t>
      </w:r>
    </w:p>
    <w:p w:rsidR="00FA0F3A" w:rsidRPr="009344AC" w:rsidRDefault="008C4406" w:rsidP="000E635C">
      <w:pPr>
        <w:spacing w:after="0" w:line="240" w:lineRule="auto"/>
        <w:jc w:val="both"/>
        <w:rPr>
          <w:rFonts w:ascii="Arial Narrow" w:eastAsia="Calibri" w:hAnsi="Arial Narrow" w:cs="Times New Roman"/>
          <w:color w:val="244061" w:themeColor="accent1" w:themeShade="80"/>
        </w:rPr>
      </w:pPr>
      <w:hyperlink r:id="rId10" w:history="1">
        <w:r w:rsidR="00FA0F3A" w:rsidRPr="009344AC">
          <w:rPr>
            <w:rFonts w:ascii="Arial Narrow" w:eastAsia="Calibri" w:hAnsi="Arial Narrow" w:cs="Times New Roman"/>
            <w:color w:val="244061" w:themeColor="accent1" w:themeShade="80"/>
          </w:rPr>
          <w:t>http://www.mmuncii.ro/j33/index.php/ro/transparenta/proiecte-in-dezbatere/4076-2015-10-08-proiecthg-strateg-diz</w:t>
        </w:r>
      </w:hyperlink>
    </w:p>
    <w:p w:rsidR="00FA0F3A" w:rsidRPr="009344AC" w:rsidRDefault="00FA0F3A" w:rsidP="000E635C">
      <w:pPr>
        <w:numPr>
          <w:ilvl w:val="0"/>
          <w:numId w:val="1"/>
        </w:numPr>
        <w:spacing w:after="0" w:line="240" w:lineRule="auto"/>
        <w:jc w:val="both"/>
        <w:rPr>
          <w:rFonts w:ascii="Arial Narrow" w:eastAsia="Calibri" w:hAnsi="Arial Narrow" w:cs="Times New Roman"/>
          <w:b/>
          <w:color w:val="244061" w:themeColor="accent1" w:themeShade="80"/>
        </w:rPr>
      </w:pPr>
      <w:r w:rsidRPr="009344AC">
        <w:rPr>
          <w:rFonts w:ascii="Arial Narrow" w:eastAsia="Calibri" w:hAnsi="Arial Narrow" w:cs="Times New Roman"/>
          <w:b/>
          <w:color w:val="244061" w:themeColor="accent1" w:themeShade="80"/>
        </w:rPr>
        <w:t>Strategia Națională pentru Protecția și Promovarea Drepturilor Copilului 2014 – 2020</w:t>
      </w:r>
    </w:p>
    <w:p w:rsidR="00FA0F3A" w:rsidRPr="009344AC" w:rsidRDefault="008C4406" w:rsidP="000E635C">
      <w:pPr>
        <w:spacing w:after="0" w:line="240" w:lineRule="auto"/>
        <w:jc w:val="both"/>
        <w:rPr>
          <w:rFonts w:ascii="Arial Narrow" w:eastAsia="Calibri" w:hAnsi="Arial Narrow" w:cs="Times New Roman"/>
          <w:color w:val="244061" w:themeColor="accent1" w:themeShade="80"/>
        </w:rPr>
      </w:pPr>
      <w:hyperlink r:id="rId11" w:history="1">
        <w:r w:rsidR="00FA0F3A" w:rsidRPr="009344AC">
          <w:rPr>
            <w:rFonts w:ascii="Arial Narrow" w:eastAsia="Calibri" w:hAnsi="Arial Narrow" w:cs="Times New Roman"/>
            <w:color w:val="244061" w:themeColor="accent1" w:themeShade="80"/>
          </w:rPr>
          <w:t>http://www.copii.ro/anpdca-content/uploads/2015/01/Anexa-1-Strategia-nationala-aprobata-de-Guvern.pdf</w:t>
        </w:r>
      </w:hyperlink>
    </w:p>
    <w:p w:rsidR="00FA0F3A" w:rsidRPr="009344AC" w:rsidRDefault="00FA0F3A" w:rsidP="000E635C">
      <w:pPr>
        <w:numPr>
          <w:ilvl w:val="0"/>
          <w:numId w:val="1"/>
        </w:numPr>
        <w:spacing w:after="0" w:line="240" w:lineRule="auto"/>
        <w:jc w:val="both"/>
        <w:rPr>
          <w:rFonts w:ascii="Arial Narrow" w:eastAsia="Calibri" w:hAnsi="Arial Narrow" w:cs="Times New Roman"/>
          <w:b/>
          <w:color w:val="244061" w:themeColor="accent1" w:themeShade="80"/>
        </w:rPr>
      </w:pPr>
      <w:r w:rsidRPr="009344AC">
        <w:rPr>
          <w:rFonts w:ascii="Arial Narrow" w:eastAsia="Calibri" w:hAnsi="Arial Narrow" w:cs="Times New Roman"/>
          <w:b/>
          <w:color w:val="244061" w:themeColor="accent1" w:themeShade="80"/>
        </w:rPr>
        <w:t>Strategia Națională pentru Promovarea Îmbătrânirii Active și Protecția Persoanelor Vârstnice pentru perioada 2015-2020</w:t>
      </w:r>
    </w:p>
    <w:p w:rsidR="00FA0F3A" w:rsidRDefault="008C4406" w:rsidP="000E635C">
      <w:pPr>
        <w:spacing w:after="0" w:line="240" w:lineRule="auto"/>
        <w:jc w:val="both"/>
        <w:rPr>
          <w:rFonts w:ascii="Arial Narrow" w:eastAsia="Calibri" w:hAnsi="Arial Narrow" w:cs="Times New Roman"/>
          <w:color w:val="244061" w:themeColor="accent1" w:themeShade="80"/>
        </w:rPr>
      </w:pPr>
      <w:hyperlink r:id="rId12" w:history="1">
        <w:r w:rsidR="00FA0F3A" w:rsidRPr="009344AC">
          <w:rPr>
            <w:rFonts w:ascii="Arial Narrow" w:eastAsia="Calibri" w:hAnsi="Arial Narrow" w:cs="Times New Roman"/>
            <w:color w:val="244061" w:themeColor="accent1" w:themeShade="80"/>
          </w:rPr>
          <w:t>http://www.mmuncii.ro/j33/images/Documente/Transparenta/Dezbateri_publice/2015-07-15_Anexa1_ProiectHG_SIA.pdf</w:t>
        </w:r>
      </w:hyperlink>
      <w:r w:rsidR="00FA0F3A" w:rsidRPr="009344AC">
        <w:rPr>
          <w:rFonts w:ascii="Arial Narrow" w:eastAsia="Calibri" w:hAnsi="Arial Narrow" w:cs="Times New Roman"/>
          <w:color w:val="244061" w:themeColor="accent1" w:themeShade="80"/>
        </w:rPr>
        <w:t xml:space="preserve"> </w:t>
      </w:r>
    </w:p>
    <w:p w:rsidR="0084078C" w:rsidRPr="0084078C" w:rsidRDefault="0084078C" w:rsidP="0084078C">
      <w:pPr>
        <w:pStyle w:val="Listparagraf"/>
        <w:numPr>
          <w:ilvl w:val="0"/>
          <w:numId w:val="1"/>
        </w:numPr>
        <w:spacing w:after="0" w:line="240" w:lineRule="auto"/>
        <w:jc w:val="both"/>
        <w:rPr>
          <w:rFonts w:ascii="Arial Narrow" w:eastAsia="Calibri" w:hAnsi="Arial Narrow"/>
          <w:b/>
          <w:color w:val="244061" w:themeColor="accent1" w:themeShade="80"/>
        </w:rPr>
      </w:pPr>
      <w:r w:rsidRPr="0084078C">
        <w:rPr>
          <w:rFonts w:ascii="Arial Narrow" w:eastAsia="Calibri" w:hAnsi="Arial Narrow"/>
          <w:b/>
          <w:color w:val="244061" w:themeColor="accent1" w:themeShade="80"/>
        </w:rPr>
        <w:t xml:space="preserve">Strategia </w:t>
      </w:r>
      <w:r w:rsidRPr="0084078C">
        <w:rPr>
          <w:rFonts w:ascii="Arial Narrow" w:eastAsia="Calibri" w:hAnsi="Arial Narrow"/>
          <w:b/>
          <w:color w:val="244061" w:themeColor="accent1" w:themeShade="80"/>
        </w:rPr>
        <w:t>Educaţiei şi Formării Profesionale din România pentru perioada 2016-2020</w:t>
      </w:r>
    </w:p>
    <w:p w:rsidR="0084078C" w:rsidRPr="009344AC" w:rsidRDefault="0084078C" w:rsidP="000E635C">
      <w:pPr>
        <w:spacing w:after="0" w:line="240" w:lineRule="auto"/>
        <w:jc w:val="both"/>
        <w:rPr>
          <w:rFonts w:ascii="Arial Narrow" w:eastAsia="Calibri" w:hAnsi="Arial Narrow" w:cs="Times New Roman"/>
          <w:color w:val="244061" w:themeColor="accent1" w:themeShade="80"/>
        </w:rPr>
      </w:pPr>
      <w:r w:rsidRPr="0084078C">
        <w:rPr>
          <w:rFonts w:ascii="Arial Narrow" w:eastAsia="Calibri" w:hAnsi="Arial Narrow" w:cs="Times New Roman"/>
          <w:color w:val="244061" w:themeColor="accent1" w:themeShade="80"/>
        </w:rPr>
        <w:t>https://www.edu.ro/sites/default/files/_fișiere/Minister/2016/strategii/Strategia_VET%2027%2004%202016.pdf</w:t>
      </w:r>
      <w:bookmarkStart w:id="3" w:name="_GoBack"/>
      <w:bookmarkEnd w:id="3"/>
    </w:p>
    <w:p w:rsidR="00FA0F3A" w:rsidRPr="009344AC" w:rsidRDefault="00FA0F3A" w:rsidP="000E635C">
      <w:pPr>
        <w:numPr>
          <w:ilvl w:val="0"/>
          <w:numId w:val="1"/>
        </w:numPr>
        <w:spacing w:after="0" w:line="240" w:lineRule="auto"/>
        <w:jc w:val="both"/>
        <w:rPr>
          <w:rFonts w:ascii="Arial Narrow" w:eastAsia="Calibri" w:hAnsi="Arial Narrow" w:cs="Times New Roman"/>
          <w:b/>
          <w:color w:val="244061" w:themeColor="accent1" w:themeShade="80"/>
        </w:rPr>
      </w:pPr>
      <w:r w:rsidRPr="009344AC">
        <w:rPr>
          <w:rFonts w:ascii="Arial Narrow" w:eastAsia="Calibri" w:hAnsi="Arial Narrow" w:cs="Times New Roman"/>
          <w:b/>
          <w:color w:val="244061" w:themeColor="accent1" w:themeShade="80"/>
        </w:rPr>
        <w:t xml:space="preserve">Strategia Națională privind Reducerea Părăsirii Timpurii a Școlii </w:t>
      </w:r>
    </w:p>
    <w:p w:rsidR="00FA0F3A" w:rsidRPr="009344AC" w:rsidRDefault="008C4406" w:rsidP="000E635C">
      <w:pPr>
        <w:spacing w:after="0" w:line="240" w:lineRule="auto"/>
        <w:ind w:left="720"/>
        <w:jc w:val="both"/>
        <w:rPr>
          <w:rFonts w:ascii="Arial Narrow" w:eastAsia="Calibri" w:hAnsi="Arial Narrow" w:cs="Times New Roman"/>
          <w:color w:val="244061" w:themeColor="accent1" w:themeShade="80"/>
        </w:rPr>
      </w:pPr>
      <w:hyperlink r:id="rId13" w:history="1">
        <w:r w:rsidR="00FA0F3A" w:rsidRPr="009344AC">
          <w:rPr>
            <w:rFonts w:ascii="Arial Narrow" w:eastAsia="Calibri" w:hAnsi="Arial Narrow" w:cs="Times New Roman"/>
            <w:color w:val="244061" w:themeColor="accent1" w:themeShade="80"/>
          </w:rPr>
          <w:t>http://www.edu.ro/index.php/articles/23306</w:t>
        </w:r>
      </w:hyperlink>
    </w:p>
    <w:p w:rsidR="00FA0F3A" w:rsidRPr="009344AC" w:rsidRDefault="00FA0F3A" w:rsidP="000E635C">
      <w:pPr>
        <w:numPr>
          <w:ilvl w:val="0"/>
          <w:numId w:val="1"/>
        </w:numPr>
        <w:spacing w:after="0" w:line="240" w:lineRule="auto"/>
        <w:jc w:val="both"/>
        <w:rPr>
          <w:rFonts w:ascii="Arial Narrow" w:eastAsia="Calibri" w:hAnsi="Arial Narrow" w:cs="Times New Roman"/>
          <w:b/>
          <w:color w:val="244061" w:themeColor="accent1" w:themeShade="80"/>
        </w:rPr>
      </w:pPr>
      <w:r w:rsidRPr="009344AC">
        <w:rPr>
          <w:rFonts w:ascii="Arial Narrow" w:eastAsia="Calibri" w:hAnsi="Arial Narrow" w:cs="Times New Roman"/>
          <w:b/>
          <w:color w:val="244061" w:themeColor="accent1" w:themeShade="80"/>
        </w:rPr>
        <w:t>Strategia pentru Învățarea pe tot Parcursul Vieții</w:t>
      </w:r>
    </w:p>
    <w:p w:rsidR="00A44C15" w:rsidRPr="009344AC" w:rsidRDefault="00A44C15" w:rsidP="000E635C">
      <w:pPr>
        <w:numPr>
          <w:ilvl w:val="0"/>
          <w:numId w:val="1"/>
        </w:numPr>
        <w:spacing w:after="0" w:line="240" w:lineRule="auto"/>
        <w:jc w:val="both"/>
        <w:rPr>
          <w:rFonts w:ascii="Arial Narrow" w:eastAsia="Calibri" w:hAnsi="Arial Narrow" w:cs="Times New Roman"/>
          <w:b/>
          <w:color w:val="244061" w:themeColor="accent1" w:themeShade="80"/>
        </w:rPr>
      </w:pPr>
      <w:r w:rsidRPr="009344AC">
        <w:rPr>
          <w:rFonts w:ascii="Arial Narrow" w:eastAsia="Calibri" w:hAnsi="Arial Narrow" w:cs="Times New Roman"/>
          <w:b/>
          <w:color w:val="244061" w:themeColor="accent1" w:themeShade="80"/>
        </w:rPr>
        <w:t xml:space="preserve">Hotărârea de Guvern.nr. 640/2018  privind modificarea Strategiei naționale pentru competitivitate 2015-2020, aprobată prin Hotărârea de Guvern nr. 775/2015 </w:t>
      </w:r>
    </w:p>
    <w:p w:rsidR="00FA0F3A" w:rsidRDefault="00FA0F3A" w:rsidP="00C01351">
      <w:pPr>
        <w:spacing w:after="0" w:line="240" w:lineRule="auto"/>
        <w:ind w:left="644"/>
        <w:jc w:val="both"/>
        <w:rPr>
          <w:rFonts w:ascii="Arial Narrow" w:eastAsia="Calibri" w:hAnsi="Arial Narrow" w:cs="Times New Roman"/>
          <w:b/>
          <w:color w:val="244061" w:themeColor="accent1" w:themeShade="80"/>
        </w:rPr>
      </w:pPr>
    </w:p>
    <w:p w:rsidR="00C01351" w:rsidRDefault="00C01351" w:rsidP="00C01351">
      <w:pPr>
        <w:spacing w:after="0" w:line="240" w:lineRule="auto"/>
        <w:ind w:left="644"/>
        <w:jc w:val="both"/>
        <w:rPr>
          <w:rFonts w:ascii="Arial Narrow" w:eastAsia="Calibri" w:hAnsi="Arial Narrow" w:cs="Times New Roman"/>
          <w:b/>
          <w:color w:val="244061" w:themeColor="accent1" w:themeShade="80"/>
        </w:rPr>
      </w:pPr>
    </w:p>
    <w:p w:rsidR="00C01351" w:rsidRPr="00C01351" w:rsidRDefault="00C01351" w:rsidP="00C01351">
      <w:pPr>
        <w:spacing w:after="0" w:line="240" w:lineRule="auto"/>
        <w:ind w:left="644"/>
        <w:jc w:val="both"/>
        <w:rPr>
          <w:rFonts w:ascii="Arial Narrow" w:eastAsia="Calibri" w:hAnsi="Arial Narrow" w:cs="Times New Roman"/>
          <w:b/>
          <w:color w:val="244061" w:themeColor="accent1" w:themeShade="80"/>
        </w:rPr>
      </w:pPr>
    </w:p>
    <w:p w:rsidR="00B83290" w:rsidRPr="009344AC" w:rsidRDefault="0078528A" w:rsidP="000E635C">
      <w:pPr>
        <w:keepNext/>
        <w:keepLines/>
        <w:suppressAutoHyphens/>
        <w:spacing w:after="0" w:line="240" w:lineRule="auto"/>
        <w:jc w:val="both"/>
        <w:outlineLvl w:val="1"/>
        <w:rPr>
          <w:rFonts w:ascii="Arial Narrow" w:hAnsi="Arial Narrow"/>
          <w:b/>
          <w:color w:val="244061" w:themeColor="accent1" w:themeShade="80"/>
        </w:rPr>
      </w:pPr>
      <w:r w:rsidRPr="009344AC">
        <w:rPr>
          <w:rFonts w:ascii="Arial Narrow" w:hAnsi="Arial Narrow"/>
          <w:b/>
          <w:color w:val="244061" w:themeColor="accent1" w:themeShade="80"/>
        </w:rPr>
        <w:t>CADRUL LEGAL APLICABIL</w:t>
      </w:r>
    </w:p>
    <w:p w:rsidR="0078528A" w:rsidRPr="009344AC" w:rsidRDefault="0078528A" w:rsidP="000E635C">
      <w:pPr>
        <w:keepNext/>
        <w:keepLines/>
        <w:suppressAutoHyphens/>
        <w:spacing w:after="0" w:line="240" w:lineRule="auto"/>
        <w:jc w:val="both"/>
        <w:outlineLvl w:val="1"/>
        <w:rPr>
          <w:rFonts w:ascii="Arial Narrow" w:hAnsi="Arial Narrow"/>
          <w:b/>
          <w:color w:val="244061" w:themeColor="accent1" w:themeShade="80"/>
          <w:lang w:eastAsia="ar-SA"/>
        </w:rPr>
      </w:pPr>
    </w:p>
    <w:p w:rsidR="00AC6957" w:rsidRPr="009344AC" w:rsidRDefault="00AC6957" w:rsidP="000E635C">
      <w:pPr>
        <w:numPr>
          <w:ilvl w:val="0"/>
          <w:numId w:val="1"/>
        </w:numPr>
        <w:spacing w:after="0" w:line="240" w:lineRule="auto"/>
        <w:jc w:val="both"/>
        <w:rPr>
          <w:rFonts w:ascii="Arial Narrow" w:eastAsia="Calibri" w:hAnsi="Arial Narrow" w:cs="Calibri"/>
          <w:color w:val="244061" w:themeColor="accent1" w:themeShade="80"/>
        </w:rPr>
      </w:pPr>
      <w:r w:rsidRPr="009344AC">
        <w:rPr>
          <w:rFonts w:ascii="Arial Narrow" w:eastAsia="Calibri" w:hAnsi="Arial Narrow" w:cs="Calibri"/>
          <w:color w:val="244061" w:themeColor="accent1" w:themeShade="80"/>
        </w:rPr>
        <w:t>Legea nr. 279/2005 (republicată) privind ucenicia la locul de muncă, inclusiv legislația subsecventă</w:t>
      </w:r>
    </w:p>
    <w:p w:rsidR="00AC6957" w:rsidRPr="009344AC" w:rsidRDefault="00AC6957" w:rsidP="000E635C">
      <w:pPr>
        <w:numPr>
          <w:ilvl w:val="0"/>
          <w:numId w:val="1"/>
        </w:numPr>
        <w:spacing w:after="0" w:line="240" w:lineRule="auto"/>
        <w:jc w:val="both"/>
        <w:rPr>
          <w:rFonts w:ascii="Arial Narrow" w:eastAsia="Calibri" w:hAnsi="Arial Narrow" w:cs="Calibri"/>
          <w:color w:val="244061" w:themeColor="accent1" w:themeShade="80"/>
        </w:rPr>
      </w:pPr>
      <w:r w:rsidRPr="009344AC">
        <w:rPr>
          <w:rFonts w:ascii="Arial Narrow" w:eastAsia="Calibri" w:hAnsi="Arial Narrow" w:cs="Calibri"/>
          <w:color w:val="244061" w:themeColor="accent1" w:themeShade="80"/>
        </w:rPr>
        <w:t>Legea nr. 335/2013 privind efectuarea stagiului pentru absolvenții de învățământ superior, cu modificările și completările ulterioare,  inclusiv legislația subsecventă</w:t>
      </w:r>
    </w:p>
    <w:p w:rsidR="00AC6957" w:rsidRPr="009344AC" w:rsidRDefault="00AC6957" w:rsidP="000E635C">
      <w:pPr>
        <w:numPr>
          <w:ilvl w:val="0"/>
          <w:numId w:val="1"/>
        </w:numPr>
        <w:spacing w:after="0" w:line="240" w:lineRule="auto"/>
        <w:jc w:val="both"/>
        <w:rPr>
          <w:rFonts w:ascii="Arial Narrow" w:eastAsia="Calibri" w:hAnsi="Arial Narrow" w:cs="Calibri"/>
          <w:color w:val="244061" w:themeColor="accent1" w:themeShade="80"/>
        </w:rPr>
      </w:pPr>
      <w:r w:rsidRPr="009344AC">
        <w:rPr>
          <w:rFonts w:ascii="Arial Narrow" w:eastAsia="Calibri" w:hAnsi="Arial Narrow" w:cs="Calibri"/>
          <w:color w:val="244061" w:themeColor="accent1" w:themeShade="80"/>
        </w:rPr>
        <w:t>Legea nr. 76/2002 privind sistemul asigurărilor pentru șomaj şi stimularea ocupării forței de muncă, cu modificările și completările ulterioare, inclusiv legislația subsecventă</w:t>
      </w:r>
    </w:p>
    <w:p w:rsidR="00AC6957" w:rsidRPr="009344AC" w:rsidRDefault="00AC6957" w:rsidP="000E635C">
      <w:pPr>
        <w:numPr>
          <w:ilvl w:val="0"/>
          <w:numId w:val="1"/>
        </w:numPr>
        <w:spacing w:after="0" w:line="240" w:lineRule="auto"/>
        <w:jc w:val="both"/>
        <w:rPr>
          <w:rFonts w:ascii="Arial Narrow" w:eastAsia="Calibri" w:hAnsi="Arial Narrow" w:cs="Calibri"/>
          <w:color w:val="244061" w:themeColor="accent1" w:themeShade="80"/>
        </w:rPr>
      </w:pPr>
      <w:r w:rsidRPr="009344AC">
        <w:rPr>
          <w:rFonts w:ascii="Arial Narrow" w:eastAsia="Calibri" w:hAnsi="Arial Narrow" w:cs="Calibri"/>
          <w:color w:val="244061" w:themeColor="accent1" w:themeShade="80"/>
        </w:rPr>
        <w:t>Legea nr. 448/2006 (republicată) privind protecția si promovarea drepturilor persoanelor cu handicap</w:t>
      </w:r>
    </w:p>
    <w:p w:rsidR="00AC6957" w:rsidRPr="009344AC" w:rsidRDefault="00AC6957" w:rsidP="000E635C">
      <w:pPr>
        <w:numPr>
          <w:ilvl w:val="0"/>
          <w:numId w:val="1"/>
        </w:numPr>
        <w:spacing w:after="0" w:line="240" w:lineRule="auto"/>
        <w:jc w:val="both"/>
        <w:rPr>
          <w:rFonts w:ascii="Arial Narrow" w:eastAsia="Calibri" w:hAnsi="Arial Narrow" w:cs="Calibri"/>
          <w:color w:val="244061" w:themeColor="accent1" w:themeShade="80"/>
        </w:rPr>
      </w:pPr>
      <w:r w:rsidRPr="009344AC">
        <w:rPr>
          <w:rFonts w:ascii="Arial Narrow" w:eastAsia="Calibri" w:hAnsi="Arial Narrow" w:cs="Calibri"/>
          <w:color w:val="244061" w:themeColor="accent1" w:themeShade="80"/>
        </w:rPr>
        <w:t>HG nr. 918/2013 privind Cadrul național al calificărilor, cu modificările și completările ulterioare</w:t>
      </w:r>
    </w:p>
    <w:p w:rsidR="00AC6957" w:rsidRPr="009344AC" w:rsidRDefault="00AC6957" w:rsidP="000E635C">
      <w:pPr>
        <w:numPr>
          <w:ilvl w:val="0"/>
          <w:numId w:val="1"/>
        </w:numPr>
        <w:spacing w:after="0" w:line="240" w:lineRule="auto"/>
        <w:jc w:val="both"/>
        <w:rPr>
          <w:rFonts w:ascii="Arial Narrow" w:eastAsia="Calibri" w:hAnsi="Arial Narrow" w:cs="Calibri"/>
          <w:color w:val="244061" w:themeColor="accent1" w:themeShade="80"/>
        </w:rPr>
      </w:pPr>
      <w:r w:rsidRPr="009344AC">
        <w:rPr>
          <w:rFonts w:ascii="Arial Narrow" w:eastAsia="Calibri" w:hAnsi="Arial Narrow" w:cs="Calibri"/>
          <w:color w:val="244061" w:themeColor="accent1" w:themeShade="80"/>
        </w:rPr>
        <w:t>HG nr. 377 din 18 aprilie 2002 pentru aprobarea Procedurilor privind accesul la măsurile pentru stimularea ocupării forței de muncă, modalitățile de finanțare si instrucțiunile de implementare a acestora</w:t>
      </w:r>
    </w:p>
    <w:p w:rsidR="00B83290" w:rsidRPr="009344AC" w:rsidRDefault="00B83290" w:rsidP="000E635C">
      <w:pPr>
        <w:numPr>
          <w:ilvl w:val="0"/>
          <w:numId w:val="1"/>
        </w:numPr>
        <w:spacing w:after="0" w:line="240" w:lineRule="auto"/>
        <w:jc w:val="both"/>
        <w:rPr>
          <w:rFonts w:ascii="Arial Narrow" w:hAnsi="Arial Narrow"/>
          <w:color w:val="244061" w:themeColor="accent1" w:themeShade="80"/>
        </w:rPr>
      </w:pPr>
      <w:r w:rsidRPr="009344AC">
        <w:rPr>
          <w:rFonts w:ascii="Arial Narrow" w:hAnsi="Arial Narrow"/>
          <w:color w:val="244061" w:themeColor="accent1" w:themeShade="80"/>
        </w:rPr>
        <w:t xml:space="preserve">HG nr. 539/2005 pentru aprobarea Nomenclatorului </w:t>
      </w:r>
      <w:r w:rsidR="00D856C0" w:rsidRPr="009344AC">
        <w:rPr>
          <w:rFonts w:ascii="Arial Narrow" w:hAnsi="Arial Narrow"/>
          <w:color w:val="244061" w:themeColor="accent1" w:themeShade="80"/>
        </w:rPr>
        <w:t>instituțiilor</w:t>
      </w:r>
      <w:r w:rsidRPr="009344AC">
        <w:rPr>
          <w:rFonts w:ascii="Arial Narrow" w:hAnsi="Arial Narrow"/>
          <w:color w:val="244061" w:themeColor="accent1" w:themeShade="80"/>
        </w:rPr>
        <w:t xml:space="preserve"> de </w:t>
      </w:r>
      <w:r w:rsidR="00D856C0" w:rsidRPr="009344AC">
        <w:rPr>
          <w:rFonts w:ascii="Arial Narrow" w:hAnsi="Arial Narrow"/>
          <w:color w:val="244061" w:themeColor="accent1" w:themeShade="80"/>
        </w:rPr>
        <w:t>asistență</w:t>
      </w:r>
      <w:r w:rsidRPr="009344AC">
        <w:rPr>
          <w:rFonts w:ascii="Arial Narrow" w:hAnsi="Arial Narrow"/>
          <w:color w:val="244061" w:themeColor="accent1" w:themeShade="80"/>
        </w:rPr>
        <w:t xml:space="preserve"> socială şi a structurii orientative de personal, a Regulamentului-cadru de organizare şi </w:t>
      </w:r>
      <w:r w:rsidR="00D856C0" w:rsidRPr="009344AC">
        <w:rPr>
          <w:rFonts w:ascii="Arial Narrow" w:hAnsi="Arial Narrow"/>
          <w:color w:val="244061" w:themeColor="accent1" w:themeShade="80"/>
        </w:rPr>
        <w:t>funcționare</w:t>
      </w:r>
      <w:r w:rsidRPr="009344AC">
        <w:rPr>
          <w:rFonts w:ascii="Arial Narrow" w:hAnsi="Arial Narrow"/>
          <w:color w:val="244061" w:themeColor="accent1" w:themeShade="80"/>
        </w:rPr>
        <w:t xml:space="preserve"> a </w:t>
      </w:r>
      <w:r w:rsidR="00D856C0" w:rsidRPr="009344AC">
        <w:rPr>
          <w:rFonts w:ascii="Arial Narrow" w:hAnsi="Arial Narrow"/>
          <w:color w:val="244061" w:themeColor="accent1" w:themeShade="80"/>
        </w:rPr>
        <w:t>instituțiilor</w:t>
      </w:r>
      <w:r w:rsidRPr="009344AC">
        <w:rPr>
          <w:rFonts w:ascii="Arial Narrow" w:hAnsi="Arial Narrow"/>
          <w:color w:val="244061" w:themeColor="accent1" w:themeShade="80"/>
        </w:rPr>
        <w:t xml:space="preserve"> de </w:t>
      </w:r>
      <w:r w:rsidR="00D856C0" w:rsidRPr="009344AC">
        <w:rPr>
          <w:rFonts w:ascii="Arial Narrow" w:hAnsi="Arial Narrow"/>
          <w:color w:val="244061" w:themeColor="accent1" w:themeShade="80"/>
        </w:rPr>
        <w:t>asistență</w:t>
      </w:r>
      <w:r w:rsidRPr="009344AC">
        <w:rPr>
          <w:rFonts w:ascii="Arial Narrow" w:hAnsi="Arial Narrow"/>
          <w:color w:val="244061" w:themeColor="accent1" w:themeShade="80"/>
        </w:rPr>
        <w:t xml:space="preserve"> socială, precum şi a Normelor metodologice de aplicare a prevederilor </w:t>
      </w:r>
      <w:r w:rsidR="00D856C0" w:rsidRPr="009344AC">
        <w:rPr>
          <w:rFonts w:ascii="Arial Narrow" w:hAnsi="Arial Narrow"/>
          <w:color w:val="244061" w:themeColor="accent1" w:themeShade="80"/>
        </w:rPr>
        <w:t>Ordonanței</w:t>
      </w:r>
      <w:r w:rsidRPr="009344AC">
        <w:rPr>
          <w:rFonts w:ascii="Arial Narrow" w:hAnsi="Arial Narrow"/>
          <w:color w:val="244061" w:themeColor="accent1" w:themeShade="80"/>
        </w:rPr>
        <w:t xml:space="preserve"> Guvernului nr. 68/2003 privind serviciile sociale, cu modificările și completările ulterioare;</w:t>
      </w:r>
    </w:p>
    <w:p w:rsidR="00B83290" w:rsidRPr="009344AC" w:rsidRDefault="00B83290" w:rsidP="0078528A">
      <w:pPr>
        <w:numPr>
          <w:ilvl w:val="0"/>
          <w:numId w:val="1"/>
        </w:numPr>
        <w:spacing w:after="0" w:line="240" w:lineRule="auto"/>
        <w:jc w:val="both"/>
        <w:rPr>
          <w:rFonts w:ascii="Arial Narrow" w:hAnsi="Arial Narrow"/>
          <w:color w:val="244061" w:themeColor="accent1" w:themeShade="80"/>
        </w:rPr>
      </w:pPr>
      <w:r w:rsidRPr="009344AC">
        <w:rPr>
          <w:rFonts w:ascii="Arial Narrow" w:hAnsi="Arial Narrow"/>
          <w:color w:val="244061" w:themeColor="accent1" w:themeShade="80"/>
        </w:rPr>
        <w:t>HG nr. 383/2015 pentru aprobarea Strategiei Naționale privind incluziunea socială și reducerea sărăciei pentru perioada 2015-2020;</w:t>
      </w:r>
    </w:p>
    <w:p w:rsidR="00A82B9A" w:rsidRPr="009344AC" w:rsidRDefault="00A82B9A" w:rsidP="0078528A">
      <w:pPr>
        <w:pStyle w:val="Listparagraf"/>
        <w:numPr>
          <w:ilvl w:val="0"/>
          <w:numId w:val="3"/>
        </w:numPr>
        <w:spacing w:after="0" w:line="240" w:lineRule="auto"/>
        <w:jc w:val="both"/>
        <w:rPr>
          <w:rFonts w:ascii="Arial Narrow" w:hAnsi="Arial Narrow"/>
          <w:color w:val="244061" w:themeColor="accent1" w:themeShade="80"/>
        </w:rPr>
      </w:pPr>
      <w:r w:rsidRPr="009344AC">
        <w:rPr>
          <w:rFonts w:ascii="Arial Narrow" w:hAnsi="Arial Narrow"/>
          <w:color w:val="244061" w:themeColor="accent1" w:themeShade="80"/>
        </w:rPr>
        <w:t>Legea Educației Naționale nr. 1/2011</w:t>
      </w:r>
      <w:r w:rsidR="00D856C0" w:rsidRPr="009344AC">
        <w:rPr>
          <w:rFonts w:ascii="Arial Narrow" w:hAnsi="Arial Narrow"/>
          <w:color w:val="244061" w:themeColor="accent1" w:themeShade="80"/>
        </w:rPr>
        <w:t>,</w:t>
      </w:r>
      <w:r w:rsidRPr="009344AC">
        <w:rPr>
          <w:rFonts w:ascii="Arial Narrow" w:hAnsi="Arial Narrow"/>
          <w:color w:val="244061" w:themeColor="accent1" w:themeShade="80"/>
        </w:rPr>
        <w:t xml:space="preserve"> cu modificările și completările ulterioare</w:t>
      </w:r>
    </w:p>
    <w:p w:rsidR="00A82B9A" w:rsidRDefault="00A82B9A" w:rsidP="0078528A">
      <w:pPr>
        <w:pStyle w:val="Listparagraf"/>
        <w:numPr>
          <w:ilvl w:val="0"/>
          <w:numId w:val="3"/>
        </w:numPr>
        <w:spacing w:after="0" w:line="240" w:lineRule="auto"/>
        <w:jc w:val="both"/>
        <w:rPr>
          <w:rFonts w:ascii="Arial Narrow" w:hAnsi="Arial Narrow"/>
          <w:color w:val="244061" w:themeColor="accent1" w:themeShade="80"/>
        </w:rPr>
      </w:pPr>
      <w:r w:rsidRPr="009344AC">
        <w:rPr>
          <w:rFonts w:ascii="Arial Narrow" w:hAnsi="Arial Narrow"/>
          <w:color w:val="244061" w:themeColor="accent1" w:themeShade="80"/>
        </w:rPr>
        <w:lastRenderedPageBreak/>
        <w:t xml:space="preserve">Hotărârea Guvernului nr. 866/2008 pentru modificarea Hotărârii Guvernului nr. 844/2002 privind aprobarea nomenclatoarelor calificărilor profesionale pentru care se asigură pregătirea prin </w:t>
      </w:r>
      <w:r w:rsidR="00D856C0" w:rsidRPr="009344AC">
        <w:rPr>
          <w:rFonts w:ascii="Arial Narrow" w:hAnsi="Arial Narrow"/>
          <w:color w:val="244061" w:themeColor="accent1" w:themeShade="80"/>
        </w:rPr>
        <w:t>învățământul</w:t>
      </w:r>
      <w:r w:rsidRPr="009344AC">
        <w:rPr>
          <w:rFonts w:ascii="Arial Narrow" w:hAnsi="Arial Narrow"/>
          <w:color w:val="244061" w:themeColor="accent1" w:themeShade="80"/>
        </w:rPr>
        <w:t xml:space="preserve"> preuniversitar, precum şi durata de </w:t>
      </w:r>
      <w:r w:rsidR="00D856C0" w:rsidRPr="009344AC">
        <w:rPr>
          <w:rFonts w:ascii="Arial Narrow" w:hAnsi="Arial Narrow"/>
          <w:color w:val="244061" w:themeColor="accent1" w:themeShade="80"/>
        </w:rPr>
        <w:t>școlarizare</w:t>
      </w:r>
    </w:p>
    <w:p w:rsidR="00712FBC" w:rsidRPr="00712FBC" w:rsidRDefault="00712FBC" w:rsidP="00712FBC">
      <w:pPr>
        <w:pStyle w:val="Listparagraf"/>
        <w:numPr>
          <w:ilvl w:val="0"/>
          <w:numId w:val="3"/>
        </w:numPr>
        <w:spacing w:after="0" w:line="240" w:lineRule="auto"/>
        <w:jc w:val="both"/>
        <w:rPr>
          <w:rFonts w:ascii="Arial Narrow" w:hAnsi="Arial Narrow"/>
          <w:color w:val="244061" w:themeColor="accent1" w:themeShade="80"/>
        </w:rPr>
      </w:pPr>
      <w:r w:rsidRPr="00712FBC">
        <w:rPr>
          <w:rFonts w:ascii="Arial Narrow" w:hAnsi="Arial Narrow"/>
          <w:color w:val="244061" w:themeColor="accent1" w:themeShade="80"/>
        </w:rPr>
        <w:t>Hotărârea nr. 951/2017 privind modalitatea de subvenționare de către stat a costurilor pentru elevii care frecventează învățământul profesional</w:t>
      </w:r>
    </w:p>
    <w:p w:rsidR="00A82B9A" w:rsidRPr="009344AC" w:rsidRDefault="008C4406" w:rsidP="0078528A">
      <w:pPr>
        <w:pStyle w:val="Listparagraf"/>
        <w:numPr>
          <w:ilvl w:val="0"/>
          <w:numId w:val="3"/>
        </w:numPr>
        <w:spacing w:after="0" w:line="240" w:lineRule="auto"/>
        <w:jc w:val="both"/>
        <w:rPr>
          <w:rStyle w:val="Hyperlink"/>
          <w:rFonts w:ascii="Arial Narrow" w:hAnsi="Arial Narrow"/>
          <w:color w:val="244061" w:themeColor="accent1" w:themeShade="80"/>
          <w:u w:val="none"/>
          <w:lang w:val="en-US"/>
        </w:rPr>
      </w:pPr>
      <w:hyperlink r:id="rId14" w:history="1">
        <w:r w:rsidR="000E635C" w:rsidRPr="009344AC">
          <w:rPr>
            <w:rStyle w:val="Hyperlink"/>
            <w:rFonts w:ascii="Arial Narrow" w:hAnsi="Arial Narrow"/>
            <w:color w:val="244061" w:themeColor="accent1" w:themeShade="80"/>
            <w:u w:val="none"/>
          </w:rPr>
          <w:t>Ordinul MEN</w:t>
        </w:r>
        <w:r w:rsidR="00A82B9A" w:rsidRPr="009344AC">
          <w:rPr>
            <w:rStyle w:val="Hyperlink"/>
            <w:rFonts w:ascii="Arial Narrow" w:hAnsi="Arial Narrow"/>
            <w:color w:val="244061" w:themeColor="accent1" w:themeShade="80"/>
            <w:u w:val="none"/>
          </w:rPr>
          <w:t xml:space="preserve"> nr. 3539/2012 privind aprobarea contractului de pregătire practică a elevilor din învățământul profesional și tehnic</w:t>
        </w:r>
      </w:hyperlink>
    </w:p>
    <w:p w:rsidR="00A82B9A" w:rsidRPr="009344AC" w:rsidRDefault="008C4406" w:rsidP="0078528A">
      <w:pPr>
        <w:pStyle w:val="Listparagraf"/>
        <w:numPr>
          <w:ilvl w:val="0"/>
          <w:numId w:val="3"/>
        </w:numPr>
        <w:spacing w:after="0" w:line="240" w:lineRule="auto"/>
        <w:jc w:val="both"/>
        <w:rPr>
          <w:rFonts w:ascii="Arial Narrow" w:hAnsi="Arial Narrow"/>
          <w:color w:val="244061" w:themeColor="accent1" w:themeShade="80"/>
        </w:rPr>
      </w:pPr>
      <w:hyperlink r:id="rId15" w:history="1">
        <w:r w:rsidR="00A82B9A" w:rsidRPr="009344AC">
          <w:rPr>
            <w:rStyle w:val="Hyperlink"/>
            <w:rFonts w:ascii="Arial Narrow" w:hAnsi="Arial Narrow"/>
            <w:color w:val="244061" w:themeColor="accent1" w:themeShade="80"/>
            <w:u w:val="none"/>
          </w:rPr>
          <w:t>Precizări referitoare la aplicarea nomenclatoarelor calificărilor profesionale pentru care se asigură pregătirea prin învățământul preuniversitar și ordinele de ministru în vigoare privind planurile de învățământ și programele școlare pentru anul școlar 2016 – 2017</w:t>
        </w:r>
      </w:hyperlink>
    </w:p>
    <w:p w:rsidR="00A82B9A" w:rsidRPr="009344AC" w:rsidRDefault="000E635C" w:rsidP="0078528A">
      <w:pPr>
        <w:pStyle w:val="Listparagraf"/>
        <w:numPr>
          <w:ilvl w:val="0"/>
          <w:numId w:val="3"/>
        </w:numPr>
        <w:spacing w:after="0" w:line="240" w:lineRule="auto"/>
        <w:jc w:val="both"/>
        <w:rPr>
          <w:rFonts w:ascii="Arial Narrow" w:hAnsi="Arial Narrow"/>
          <w:color w:val="244061" w:themeColor="accent1" w:themeShade="80"/>
        </w:rPr>
      </w:pPr>
      <w:r w:rsidRPr="009344AC">
        <w:rPr>
          <w:rFonts w:ascii="Arial Narrow" w:hAnsi="Arial Narrow"/>
          <w:color w:val="244061" w:themeColor="accent1" w:themeShade="80"/>
        </w:rPr>
        <w:t>Ordinul MEN</w:t>
      </w:r>
      <w:r w:rsidR="00A82B9A" w:rsidRPr="009344AC">
        <w:rPr>
          <w:rFonts w:ascii="Arial Narrow" w:hAnsi="Arial Narrow"/>
          <w:color w:val="244061" w:themeColor="accent1" w:themeShade="80"/>
        </w:rPr>
        <w:t xml:space="preserve"> nr. 5033/2016 privind aprobarea Metodologiei de organizare și </w:t>
      </w:r>
      <w:r w:rsidR="00D856C0" w:rsidRPr="009344AC">
        <w:rPr>
          <w:rFonts w:ascii="Arial Narrow" w:hAnsi="Arial Narrow"/>
          <w:color w:val="244061" w:themeColor="accent1" w:themeShade="80"/>
        </w:rPr>
        <w:t>funcționare</w:t>
      </w:r>
      <w:r w:rsidR="00A82B9A" w:rsidRPr="009344AC">
        <w:rPr>
          <w:rFonts w:ascii="Arial Narrow" w:hAnsi="Arial Narrow"/>
          <w:color w:val="244061" w:themeColor="accent1" w:themeShade="80"/>
        </w:rPr>
        <w:t xml:space="preserve"> a </w:t>
      </w:r>
      <w:r w:rsidR="00D856C0" w:rsidRPr="009344AC">
        <w:rPr>
          <w:rFonts w:ascii="Arial Narrow" w:hAnsi="Arial Narrow"/>
          <w:color w:val="244061" w:themeColor="accent1" w:themeShade="80"/>
        </w:rPr>
        <w:t>învățământului</w:t>
      </w:r>
      <w:r w:rsidR="00A82B9A" w:rsidRPr="009344AC">
        <w:rPr>
          <w:rFonts w:ascii="Arial Narrow" w:hAnsi="Arial Narrow"/>
          <w:color w:val="244061" w:themeColor="accent1" w:themeShade="80"/>
        </w:rPr>
        <w:t xml:space="preserve"> profesional de stat </w:t>
      </w:r>
    </w:p>
    <w:p w:rsidR="00A82B9A" w:rsidRPr="009344AC" w:rsidRDefault="000E635C" w:rsidP="0078528A">
      <w:pPr>
        <w:pStyle w:val="Listparagraf"/>
        <w:numPr>
          <w:ilvl w:val="0"/>
          <w:numId w:val="3"/>
        </w:numPr>
        <w:spacing w:after="0" w:line="240" w:lineRule="auto"/>
        <w:jc w:val="both"/>
        <w:rPr>
          <w:rFonts w:ascii="Arial Narrow" w:hAnsi="Arial Narrow"/>
          <w:color w:val="244061" w:themeColor="accent1" w:themeShade="80"/>
        </w:rPr>
      </w:pPr>
      <w:r w:rsidRPr="009344AC">
        <w:rPr>
          <w:rFonts w:ascii="Arial Narrow" w:hAnsi="Arial Narrow"/>
          <w:color w:val="244061" w:themeColor="accent1" w:themeShade="80"/>
        </w:rPr>
        <w:t>Ordinul MEN</w:t>
      </w:r>
      <w:r w:rsidR="00A82B9A" w:rsidRPr="009344AC">
        <w:rPr>
          <w:rFonts w:ascii="Arial Narrow" w:hAnsi="Arial Narrow"/>
          <w:color w:val="244061" w:themeColor="accent1" w:themeShade="80"/>
        </w:rPr>
        <w:t xml:space="preserve"> nr. 5068/2016 privind organizarea și desfășurarea admiterii în </w:t>
      </w:r>
      <w:r w:rsidR="00D856C0" w:rsidRPr="009344AC">
        <w:rPr>
          <w:rFonts w:ascii="Arial Narrow" w:hAnsi="Arial Narrow"/>
          <w:color w:val="244061" w:themeColor="accent1" w:themeShade="80"/>
        </w:rPr>
        <w:t>învățământul</w:t>
      </w:r>
      <w:r w:rsidR="00A82B9A" w:rsidRPr="009344AC">
        <w:rPr>
          <w:rFonts w:ascii="Arial Narrow" w:hAnsi="Arial Narrow"/>
          <w:color w:val="244061" w:themeColor="accent1" w:themeShade="80"/>
        </w:rPr>
        <w:t xml:space="preserve"> profesional de stat </w:t>
      </w:r>
    </w:p>
    <w:p w:rsidR="00A82B9A" w:rsidRPr="009344AC" w:rsidRDefault="000E635C" w:rsidP="00660146">
      <w:pPr>
        <w:pStyle w:val="Listparagraf"/>
        <w:numPr>
          <w:ilvl w:val="0"/>
          <w:numId w:val="3"/>
        </w:numPr>
        <w:spacing w:after="0" w:line="240" w:lineRule="auto"/>
        <w:jc w:val="both"/>
        <w:rPr>
          <w:rFonts w:ascii="Arial Narrow" w:hAnsi="Arial Narrow"/>
          <w:color w:val="244061" w:themeColor="accent1" w:themeShade="80"/>
        </w:rPr>
      </w:pPr>
      <w:r w:rsidRPr="009344AC">
        <w:rPr>
          <w:rFonts w:ascii="Arial Narrow" w:hAnsi="Arial Narrow"/>
          <w:color w:val="244061" w:themeColor="accent1" w:themeShade="80"/>
        </w:rPr>
        <w:t>Ordinul MEN</w:t>
      </w:r>
      <w:r w:rsidR="00A82B9A" w:rsidRPr="009344AC">
        <w:rPr>
          <w:rFonts w:ascii="Arial Narrow" w:hAnsi="Arial Narrow"/>
          <w:color w:val="244061" w:themeColor="accent1" w:themeShade="80"/>
        </w:rPr>
        <w:t xml:space="preserve"> nr. </w:t>
      </w:r>
      <w:r w:rsidR="00660146" w:rsidRPr="009344AC">
        <w:rPr>
          <w:rFonts w:ascii="Arial Narrow" w:hAnsi="Arial Narrow"/>
          <w:color w:val="244061" w:themeColor="accent1" w:themeShade="80"/>
        </w:rPr>
        <w:t xml:space="preserve"> 5031/2018 privind organizarea, desfășurarea și calendarul admiterii în învățământul profesional de stat și în învățământul dual pentru anul școlar 2019-2020.</w:t>
      </w:r>
    </w:p>
    <w:p w:rsidR="00D34EFE" w:rsidRPr="009344AC" w:rsidRDefault="00D34EFE" w:rsidP="00A44C15">
      <w:pPr>
        <w:pStyle w:val="Listparagraf"/>
        <w:spacing w:after="0" w:line="240" w:lineRule="auto"/>
        <w:rPr>
          <w:rFonts w:ascii="Arial Narrow" w:hAnsi="Arial Narrow"/>
          <w:b/>
          <w:color w:val="244061" w:themeColor="accent1" w:themeShade="80"/>
        </w:rPr>
      </w:pPr>
    </w:p>
    <w:sectPr w:rsidR="00D34EFE" w:rsidRPr="009344AC" w:rsidSect="00054237">
      <w:footerReference w:type="default" r:id="rId16"/>
      <w:pgSz w:w="11906" w:h="16838"/>
      <w:pgMar w:top="1417" w:right="1417" w:bottom="993" w:left="1417" w:header="708" w:footer="9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4406" w:rsidRDefault="008C4406" w:rsidP="00B83290">
      <w:pPr>
        <w:spacing w:after="0" w:line="240" w:lineRule="auto"/>
      </w:pPr>
      <w:r>
        <w:separator/>
      </w:r>
    </w:p>
  </w:endnote>
  <w:endnote w:type="continuationSeparator" w:id="0">
    <w:p w:rsidR="008C4406" w:rsidRDefault="008C4406" w:rsidP="00B832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0759868"/>
      <w:docPartObj>
        <w:docPartGallery w:val="Page Numbers (Bottom of Page)"/>
        <w:docPartUnique/>
      </w:docPartObj>
    </w:sdtPr>
    <w:sdtEndPr>
      <w:rPr>
        <w:b/>
        <w:color w:val="17365D" w:themeColor="text2" w:themeShade="BF"/>
      </w:rPr>
    </w:sdtEndPr>
    <w:sdtContent>
      <w:p w:rsidR="00934E80" w:rsidRPr="00934E80" w:rsidRDefault="00934E80" w:rsidP="00934E80">
        <w:pPr>
          <w:pStyle w:val="Subsol"/>
          <w:spacing w:before="120" w:after="120"/>
          <w:jc w:val="right"/>
          <w:rPr>
            <w:b/>
            <w:color w:val="17365D" w:themeColor="text2" w:themeShade="BF"/>
          </w:rPr>
        </w:pPr>
        <w:r w:rsidRPr="00934E80">
          <w:rPr>
            <w:b/>
            <w:color w:val="17365D" w:themeColor="text2" w:themeShade="BF"/>
          </w:rPr>
          <w:fldChar w:fldCharType="begin"/>
        </w:r>
        <w:r w:rsidRPr="00934E80">
          <w:rPr>
            <w:b/>
            <w:color w:val="17365D" w:themeColor="text2" w:themeShade="BF"/>
          </w:rPr>
          <w:instrText>PAGE   \* MERGEFORMAT</w:instrText>
        </w:r>
        <w:r w:rsidRPr="00934E80">
          <w:rPr>
            <w:b/>
            <w:color w:val="17365D" w:themeColor="text2" w:themeShade="BF"/>
          </w:rPr>
          <w:fldChar w:fldCharType="separate"/>
        </w:r>
        <w:r w:rsidR="0084078C">
          <w:rPr>
            <w:b/>
            <w:noProof/>
            <w:color w:val="17365D" w:themeColor="text2" w:themeShade="BF"/>
          </w:rPr>
          <w:t>1</w:t>
        </w:r>
        <w:r w:rsidRPr="00934E80">
          <w:rPr>
            <w:b/>
            <w:color w:val="17365D" w:themeColor="text2" w:themeShade="BF"/>
          </w:rPr>
          <w:fldChar w:fldCharType="end"/>
        </w:r>
      </w:p>
    </w:sdtContent>
  </w:sdt>
  <w:p w:rsidR="00B83290" w:rsidRPr="007279CF" w:rsidRDefault="00B83290" w:rsidP="000954B2">
    <w:pPr>
      <w:pStyle w:val="Subsol"/>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4406" w:rsidRDefault="008C4406" w:rsidP="00B83290">
      <w:pPr>
        <w:spacing w:after="0" w:line="240" w:lineRule="auto"/>
      </w:pPr>
      <w:r>
        <w:separator/>
      </w:r>
    </w:p>
  </w:footnote>
  <w:footnote w:type="continuationSeparator" w:id="0">
    <w:p w:rsidR="008C4406" w:rsidRDefault="008C4406" w:rsidP="00B8329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B24F33"/>
    <w:multiLevelType w:val="hybridMultilevel"/>
    <w:tmpl w:val="68B689D4"/>
    <w:lvl w:ilvl="0" w:tplc="18B68738">
      <w:start w:val="1"/>
      <w:numFmt w:val="bullet"/>
      <w:lvlText w:val=""/>
      <w:lvlJc w:val="left"/>
      <w:pPr>
        <w:ind w:left="644" w:hanging="360"/>
      </w:pPr>
      <w:rPr>
        <w:rFonts w:ascii="Wingdings 3" w:hAnsi="Wingdings 3" w:hint="default"/>
        <w:color w:val="FFC00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40C5611"/>
    <w:multiLevelType w:val="hybridMultilevel"/>
    <w:tmpl w:val="08CA7022"/>
    <w:lvl w:ilvl="0" w:tplc="18B68738">
      <w:start w:val="1"/>
      <w:numFmt w:val="bullet"/>
      <w:lvlText w:val=""/>
      <w:lvlJc w:val="left"/>
      <w:pPr>
        <w:ind w:left="720" w:hanging="360"/>
      </w:pPr>
      <w:rPr>
        <w:rFonts w:ascii="Wingdings 3" w:hAnsi="Wingdings 3" w:hint="default"/>
        <w:color w:val="FFC00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0D472BB"/>
    <w:multiLevelType w:val="hybridMultilevel"/>
    <w:tmpl w:val="8C062B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3290"/>
    <w:rsid w:val="00034620"/>
    <w:rsid w:val="00054237"/>
    <w:rsid w:val="000954B2"/>
    <w:rsid w:val="000E635C"/>
    <w:rsid w:val="001005BA"/>
    <w:rsid w:val="001115B4"/>
    <w:rsid w:val="001A3478"/>
    <w:rsid w:val="001B6D11"/>
    <w:rsid w:val="002C3357"/>
    <w:rsid w:val="00335787"/>
    <w:rsid w:val="003B3CE1"/>
    <w:rsid w:val="004246A0"/>
    <w:rsid w:val="0045193C"/>
    <w:rsid w:val="004B3B47"/>
    <w:rsid w:val="004D3FE8"/>
    <w:rsid w:val="0052149F"/>
    <w:rsid w:val="00531C31"/>
    <w:rsid w:val="0055728F"/>
    <w:rsid w:val="00564615"/>
    <w:rsid w:val="0057480C"/>
    <w:rsid w:val="005A26C6"/>
    <w:rsid w:val="005D1412"/>
    <w:rsid w:val="00634198"/>
    <w:rsid w:val="00660146"/>
    <w:rsid w:val="00676E9E"/>
    <w:rsid w:val="00695171"/>
    <w:rsid w:val="006C699B"/>
    <w:rsid w:val="006E5F18"/>
    <w:rsid w:val="006F29CC"/>
    <w:rsid w:val="00701AF1"/>
    <w:rsid w:val="00712FBC"/>
    <w:rsid w:val="007279CF"/>
    <w:rsid w:val="0078528A"/>
    <w:rsid w:val="007C191C"/>
    <w:rsid w:val="007D65E0"/>
    <w:rsid w:val="00806E11"/>
    <w:rsid w:val="0084078C"/>
    <w:rsid w:val="008648EC"/>
    <w:rsid w:val="0087640C"/>
    <w:rsid w:val="008B7E5B"/>
    <w:rsid w:val="008C4406"/>
    <w:rsid w:val="008C7545"/>
    <w:rsid w:val="008F27F9"/>
    <w:rsid w:val="009344AC"/>
    <w:rsid w:val="00934E80"/>
    <w:rsid w:val="00971134"/>
    <w:rsid w:val="00976D44"/>
    <w:rsid w:val="009B6A58"/>
    <w:rsid w:val="00A079C0"/>
    <w:rsid w:val="00A44C15"/>
    <w:rsid w:val="00A55019"/>
    <w:rsid w:val="00A8242F"/>
    <w:rsid w:val="00A82B9A"/>
    <w:rsid w:val="00A877BD"/>
    <w:rsid w:val="00AA1824"/>
    <w:rsid w:val="00AC6957"/>
    <w:rsid w:val="00B02358"/>
    <w:rsid w:val="00B2609B"/>
    <w:rsid w:val="00B76A8B"/>
    <w:rsid w:val="00B83290"/>
    <w:rsid w:val="00BA52E2"/>
    <w:rsid w:val="00BB1D13"/>
    <w:rsid w:val="00BB4489"/>
    <w:rsid w:val="00C01351"/>
    <w:rsid w:val="00C1055A"/>
    <w:rsid w:val="00C179EF"/>
    <w:rsid w:val="00C771FF"/>
    <w:rsid w:val="00C96EE5"/>
    <w:rsid w:val="00CB75F1"/>
    <w:rsid w:val="00CE609C"/>
    <w:rsid w:val="00CE6F37"/>
    <w:rsid w:val="00D34EFE"/>
    <w:rsid w:val="00D4332D"/>
    <w:rsid w:val="00D60850"/>
    <w:rsid w:val="00D71EDD"/>
    <w:rsid w:val="00D856C0"/>
    <w:rsid w:val="00DA2EFC"/>
    <w:rsid w:val="00DA4B4C"/>
    <w:rsid w:val="00E02972"/>
    <w:rsid w:val="00E27211"/>
    <w:rsid w:val="00E45EC3"/>
    <w:rsid w:val="00E634F7"/>
    <w:rsid w:val="00E91446"/>
    <w:rsid w:val="00EF286D"/>
    <w:rsid w:val="00EF786B"/>
    <w:rsid w:val="00F66AC3"/>
    <w:rsid w:val="00F83880"/>
    <w:rsid w:val="00FA0F3A"/>
    <w:rsid w:val="00FC21CE"/>
    <w:rsid w:val="00FE4A6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640C"/>
  </w:style>
  <w:style w:type="paragraph" w:styleId="Titlu1">
    <w:name w:val="heading 1"/>
    <w:basedOn w:val="Normal"/>
    <w:next w:val="Normal"/>
    <w:link w:val="Titlu1Caracter"/>
    <w:uiPriority w:val="9"/>
    <w:qFormat/>
    <w:rsid w:val="00B83290"/>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lu2">
    <w:name w:val="heading 2"/>
    <w:basedOn w:val="Normal"/>
    <w:next w:val="Normal"/>
    <w:link w:val="Titlu2Caracter"/>
    <w:uiPriority w:val="9"/>
    <w:semiHidden/>
    <w:unhideWhenUsed/>
    <w:qFormat/>
    <w:rsid w:val="00FA0F3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Robust">
    <w:name w:val="Strong"/>
    <w:basedOn w:val="Fontdeparagrafimplicit"/>
    <w:uiPriority w:val="22"/>
    <w:qFormat/>
    <w:rsid w:val="0087640C"/>
    <w:rPr>
      <w:b/>
      <w:bCs/>
    </w:rPr>
  </w:style>
  <w:style w:type="character" w:styleId="Accentuat">
    <w:name w:val="Emphasis"/>
    <w:basedOn w:val="Fontdeparagrafimplicit"/>
    <w:uiPriority w:val="20"/>
    <w:qFormat/>
    <w:rsid w:val="0087640C"/>
    <w:rPr>
      <w:i/>
      <w:iCs/>
    </w:rPr>
  </w:style>
  <w:style w:type="paragraph" w:styleId="Listparagraf">
    <w:name w:val="List Paragraph"/>
    <w:basedOn w:val="Normal"/>
    <w:uiPriority w:val="34"/>
    <w:qFormat/>
    <w:rsid w:val="0087640C"/>
    <w:pPr>
      <w:ind w:left="720"/>
      <w:contextualSpacing/>
    </w:pPr>
    <w:rPr>
      <w:rFonts w:cs="Times New Roman"/>
    </w:rPr>
  </w:style>
  <w:style w:type="paragraph" w:styleId="Antet">
    <w:name w:val="header"/>
    <w:basedOn w:val="Normal"/>
    <w:link w:val="AntetCaracter"/>
    <w:uiPriority w:val="99"/>
    <w:unhideWhenUsed/>
    <w:rsid w:val="00B83290"/>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B83290"/>
  </w:style>
  <w:style w:type="paragraph" w:styleId="Subsol">
    <w:name w:val="footer"/>
    <w:basedOn w:val="Normal"/>
    <w:link w:val="SubsolCaracter"/>
    <w:unhideWhenUsed/>
    <w:rsid w:val="00B83290"/>
    <w:pPr>
      <w:tabs>
        <w:tab w:val="center" w:pos="4536"/>
        <w:tab w:val="right" w:pos="9072"/>
      </w:tabs>
      <w:spacing w:after="0" w:line="240" w:lineRule="auto"/>
    </w:pPr>
  </w:style>
  <w:style w:type="character" w:customStyle="1" w:styleId="SubsolCaracter">
    <w:name w:val="Subsol Caracter"/>
    <w:basedOn w:val="Fontdeparagrafimplicit"/>
    <w:link w:val="Subsol"/>
    <w:rsid w:val="00B83290"/>
  </w:style>
  <w:style w:type="character" w:customStyle="1" w:styleId="Titlu1Caracter">
    <w:name w:val="Titlu 1 Caracter"/>
    <w:basedOn w:val="Fontdeparagrafimplicit"/>
    <w:link w:val="Titlu1"/>
    <w:uiPriority w:val="9"/>
    <w:rsid w:val="00B83290"/>
    <w:rPr>
      <w:rFonts w:asciiTheme="majorHAnsi" w:eastAsiaTheme="majorEastAsia" w:hAnsiTheme="majorHAnsi" w:cstheme="majorBidi"/>
      <w:color w:val="365F91" w:themeColor="accent1" w:themeShade="BF"/>
      <w:sz w:val="32"/>
      <w:szCs w:val="32"/>
    </w:rPr>
  </w:style>
  <w:style w:type="paragraph" w:styleId="TextnBalon">
    <w:name w:val="Balloon Text"/>
    <w:basedOn w:val="Normal"/>
    <w:link w:val="TextnBalonCaracter"/>
    <w:uiPriority w:val="99"/>
    <w:semiHidden/>
    <w:unhideWhenUsed/>
    <w:rsid w:val="00AC6957"/>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AC6957"/>
    <w:rPr>
      <w:rFonts w:ascii="Tahoma" w:hAnsi="Tahoma" w:cs="Tahoma"/>
      <w:sz w:val="16"/>
      <w:szCs w:val="16"/>
    </w:rPr>
  </w:style>
  <w:style w:type="paragraph" w:styleId="Textcomentariu">
    <w:name w:val="annotation text"/>
    <w:basedOn w:val="Normal"/>
    <w:link w:val="TextcomentariuCaracter"/>
    <w:uiPriority w:val="99"/>
    <w:semiHidden/>
    <w:unhideWhenUsed/>
    <w:rsid w:val="00A079C0"/>
    <w:pPr>
      <w:spacing w:line="240" w:lineRule="auto"/>
    </w:pPr>
    <w:rPr>
      <w:rFonts w:eastAsiaTheme="minorEastAsia"/>
      <w:sz w:val="20"/>
      <w:szCs w:val="20"/>
      <w:lang w:val="en-US"/>
    </w:rPr>
  </w:style>
  <w:style w:type="character" w:customStyle="1" w:styleId="TextcomentariuCaracter">
    <w:name w:val="Text comentariu Caracter"/>
    <w:basedOn w:val="Fontdeparagrafimplicit"/>
    <w:link w:val="Textcomentariu"/>
    <w:uiPriority w:val="99"/>
    <w:semiHidden/>
    <w:rsid w:val="00A079C0"/>
    <w:rPr>
      <w:rFonts w:eastAsiaTheme="minorEastAsia"/>
      <w:sz w:val="20"/>
      <w:szCs w:val="20"/>
      <w:lang w:val="en-US"/>
    </w:rPr>
  </w:style>
  <w:style w:type="character" w:customStyle="1" w:styleId="Titlu2Caracter">
    <w:name w:val="Titlu 2 Caracter"/>
    <w:basedOn w:val="Fontdeparagrafimplicit"/>
    <w:link w:val="Titlu2"/>
    <w:uiPriority w:val="9"/>
    <w:semiHidden/>
    <w:rsid w:val="00FA0F3A"/>
    <w:rPr>
      <w:rFonts w:asciiTheme="majorHAnsi" w:eastAsiaTheme="majorEastAsia" w:hAnsiTheme="majorHAnsi" w:cstheme="majorBidi"/>
      <w:b/>
      <w:bCs/>
      <w:color w:val="4F81BD" w:themeColor="accent1"/>
      <w:sz w:val="26"/>
      <w:szCs w:val="26"/>
    </w:rPr>
  </w:style>
  <w:style w:type="character" w:styleId="Hyperlink">
    <w:name w:val="Hyperlink"/>
    <w:basedOn w:val="Fontdeparagrafimplicit"/>
    <w:uiPriority w:val="99"/>
    <w:semiHidden/>
    <w:unhideWhenUsed/>
    <w:rsid w:val="00A82B9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640C"/>
  </w:style>
  <w:style w:type="paragraph" w:styleId="Titlu1">
    <w:name w:val="heading 1"/>
    <w:basedOn w:val="Normal"/>
    <w:next w:val="Normal"/>
    <w:link w:val="Titlu1Caracter"/>
    <w:uiPriority w:val="9"/>
    <w:qFormat/>
    <w:rsid w:val="00B83290"/>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lu2">
    <w:name w:val="heading 2"/>
    <w:basedOn w:val="Normal"/>
    <w:next w:val="Normal"/>
    <w:link w:val="Titlu2Caracter"/>
    <w:uiPriority w:val="9"/>
    <w:semiHidden/>
    <w:unhideWhenUsed/>
    <w:qFormat/>
    <w:rsid w:val="00FA0F3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Robust">
    <w:name w:val="Strong"/>
    <w:basedOn w:val="Fontdeparagrafimplicit"/>
    <w:uiPriority w:val="22"/>
    <w:qFormat/>
    <w:rsid w:val="0087640C"/>
    <w:rPr>
      <w:b/>
      <w:bCs/>
    </w:rPr>
  </w:style>
  <w:style w:type="character" w:styleId="Accentuat">
    <w:name w:val="Emphasis"/>
    <w:basedOn w:val="Fontdeparagrafimplicit"/>
    <w:uiPriority w:val="20"/>
    <w:qFormat/>
    <w:rsid w:val="0087640C"/>
    <w:rPr>
      <w:i/>
      <w:iCs/>
    </w:rPr>
  </w:style>
  <w:style w:type="paragraph" w:styleId="Listparagraf">
    <w:name w:val="List Paragraph"/>
    <w:basedOn w:val="Normal"/>
    <w:uiPriority w:val="34"/>
    <w:qFormat/>
    <w:rsid w:val="0087640C"/>
    <w:pPr>
      <w:ind w:left="720"/>
      <w:contextualSpacing/>
    </w:pPr>
    <w:rPr>
      <w:rFonts w:cs="Times New Roman"/>
    </w:rPr>
  </w:style>
  <w:style w:type="paragraph" w:styleId="Antet">
    <w:name w:val="header"/>
    <w:basedOn w:val="Normal"/>
    <w:link w:val="AntetCaracter"/>
    <w:uiPriority w:val="99"/>
    <w:unhideWhenUsed/>
    <w:rsid w:val="00B83290"/>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B83290"/>
  </w:style>
  <w:style w:type="paragraph" w:styleId="Subsol">
    <w:name w:val="footer"/>
    <w:basedOn w:val="Normal"/>
    <w:link w:val="SubsolCaracter"/>
    <w:unhideWhenUsed/>
    <w:rsid w:val="00B83290"/>
    <w:pPr>
      <w:tabs>
        <w:tab w:val="center" w:pos="4536"/>
        <w:tab w:val="right" w:pos="9072"/>
      </w:tabs>
      <w:spacing w:after="0" w:line="240" w:lineRule="auto"/>
    </w:pPr>
  </w:style>
  <w:style w:type="character" w:customStyle="1" w:styleId="SubsolCaracter">
    <w:name w:val="Subsol Caracter"/>
    <w:basedOn w:val="Fontdeparagrafimplicit"/>
    <w:link w:val="Subsol"/>
    <w:rsid w:val="00B83290"/>
  </w:style>
  <w:style w:type="character" w:customStyle="1" w:styleId="Titlu1Caracter">
    <w:name w:val="Titlu 1 Caracter"/>
    <w:basedOn w:val="Fontdeparagrafimplicit"/>
    <w:link w:val="Titlu1"/>
    <w:uiPriority w:val="9"/>
    <w:rsid w:val="00B83290"/>
    <w:rPr>
      <w:rFonts w:asciiTheme="majorHAnsi" w:eastAsiaTheme="majorEastAsia" w:hAnsiTheme="majorHAnsi" w:cstheme="majorBidi"/>
      <w:color w:val="365F91" w:themeColor="accent1" w:themeShade="BF"/>
      <w:sz w:val="32"/>
      <w:szCs w:val="32"/>
    </w:rPr>
  </w:style>
  <w:style w:type="paragraph" w:styleId="TextnBalon">
    <w:name w:val="Balloon Text"/>
    <w:basedOn w:val="Normal"/>
    <w:link w:val="TextnBalonCaracter"/>
    <w:uiPriority w:val="99"/>
    <w:semiHidden/>
    <w:unhideWhenUsed/>
    <w:rsid w:val="00AC6957"/>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AC6957"/>
    <w:rPr>
      <w:rFonts w:ascii="Tahoma" w:hAnsi="Tahoma" w:cs="Tahoma"/>
      <w:sz w:val="16"/>
      <w:szCs w:val="16"/>
    </w:rPr>
  </w:style>
  <w:style w:type="paragraph" w:styleId="Textcomentariu">
    <w:name w:val="annotation text"/>
    <w:basedOn w:val="Normal"/>
    <w:link w:val="TextcomentariuCaracter"/>
    <w:uiPriority w:val="99"/>
    <w:semiHidden/>
    <w:unhideWhenUsed/>
    <w:rsid w:val="00A079C0"/>
    <w:pPr>
      <w:spacing w:line="240" w:lineRule="auto"/>
    </w:pPr>
    <w:rPr>
      <w:rFonts w:eastAsiaTheme="minorEastAsia"/>
      <w:sz w:val="20"/>
      <w:szCs w:val="20"/>
      <w:lang w:val="en-US"/>
    </w:rPr>
  </w:style>
  <w:style w:type="character" w:customStyle="1" w:styleId="TextcomentariuCaracter">
    <w:name w:val="Text comentariu Caracter"/>
    <w:basedOn w:val="Fontdeparagrafimplicit"/>
    <w:link w:val="Textcomentariu"/>
    <w:uiPriority w:val="99"/>
    <w:semiHidden/>
    <w:rsid w:val="00A079C0"/>
    <w:rPr>
      <w:rFonts w:eastAsiaTheme="minorEastAsia"/>
      <w:sz w:val="20"/>
      <w:szCs w:val="20"/>
      <w:lang w:val="en-US"/>
    </w:rPr>
  </w:style>
  <w:style w:type="character" w:customStyle="1" w:styleId="Titlu2Caracter">
    <w:name w:val="Titlu 2 Caracter"/>
    <w:basedOn w:val="Fontdeparagrafimplicit"/>
    <w:link w:val="Titlu2"/>
    <w:uiPriority w:val="9"/>
    <w:semiHidden/>
    <w:rsid w:val="00FA0F3A"/>
    <w:rPr>
      <w:rFonts w:asciiTheme="majorHAnsi" w:eastAsiaTheme="majorEastAsia" w:hAnsiTheme="majorHAnsi" w:cstheme="majorBidi"/>
      <w:b/>
      <w:bCs/>
      <w:color w:val="4F81BD" w:themeColor="accent1"/>
      <w:sz w:val="26"/>
      <w:szCs w:val="26"/>
    </w:rPr>
  </w:style>
  <w:style w:type="character" w:styleId="Hyperlink">
    <w:name w:val="Hyperlink"/>
    <w:basedOn w:val="Fontdeparagrafimplicit"/>
    <w:uiPriority w:val="99"/>
    <w:semiHidden/>
    <w:unhideWhenUsed/>
    <w:rsid w:val="00A82B9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3685065">
      <w:bodyDiv w:val="1"/>
      <w:marLeft w:val="0"/>
      <w:marRight w:val="0"/>
      <w:marTop w:val="0"/>
      <w:marBottom w:val="0"/>
      <w:divBdr>
        <w:top w:val="none" w:sz="0" w:space="0" w:color="auto"/>
        <w:left w:val="none" w:sz="0" w:space="0" w:color="auto"/>
        <w:bottom w:val="none" w:sz="0" w:space="0" w:color="auto"/>
        <w:right w:val="none" w:sz="0" w:space="0" w:color="auto"/>
      </w:divBdr>
    </w:div>
    <w:div w:id="849834151">
      <w:bodyDiv w:val="1"/>
      <w:marLeft w:val="0"/>
      <w:marRight w:val="0"/>
      <w:marTop w:val="0"/>
      <w:marBottom w:val="0"/>
      <w:divBdr>
        <w:top w:val="none" w:sz="0" w:space="0" w:color="auto"/>
        <w:left w:val="none" w:sz="0" w:space="0" w:color="auto"/>
        <w:bottom w:val="none" w:sz="0" w:space="0" w:color="auto"/>
        <w:right w:val="none" w:sz="0" w:space="0" w:color="auto"/>
      </w:divBdr>
    </w:div>
    <w:div w:id="1570730825">
      <w:bodyDiv w:val="1"/>
      <w:marLeft w:val="0"/>
      <w:marRight w:val="0"/>
      <w:marTop w:val="0"/>
      <w:marBottom w:val="0"/>
      <w:divBdr>
        <w:top w:val="none" w:sz="0" w:space="0" w:color="auto"/>
        <w:left w:val="none" w:sz="0" w:space="0" w:color="auto"/>
        <w:bottom w:val="none" w:sz="0" w:space="0" w:color="auto"/>
        <w:right w:val="none" w:sz="0" w:space="0" w:color="auto"/>
      </w:divBdr>
      <w:divsChild>
        <w:div w:id="576669129">
          <w:marLeft w:val="0"/>
          <w:marRight w:val="0"/>
          <w:marTop w:val="0"/>
          <w:marBottom w:val="0"/>
          <w:divBdr>
            <w:top w:val="none" w:sz="0" w:space="0" w:color="auto"/>
            <w:left w:val="none" w:sz="0" w:space="0" w:color="auto"/>
            <w:bottom w:val="none" w:sz="0" w:space="0" w:color="auto"/>
            <w:right w:val="none" w:sz="0" w:space="0" w:color="auto"/>
          </w:divBdr>
        </w:div>
      </w:divsChild>
    </w:div>
    <w:div w:id="1656953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edu.ro/index.php/articles/23306"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mmuncii.ro/j33/images/Documente/Transparenta/Dezbateri_publice/2015-07-15_Anexa1_ProiectHG_SIA.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opii.ro/anpdca-content/uploads/2015/01/Anexa-1-Strategia-nationala-aprobata-de-Guvern.pdf" TargetMode="External"/><Relationship Id="rId5" Type="http://schemas.openxmlformats.org/officeDocument/2006/relationships/settings" Target="settings.xml"/><Relationship Id="rId15" Type="http://schemas.openxmlformats.org/officeDocument/2006/relationships/hyperlink" Target="http://www.tvet.ro" TargetMode="External"/><Relationship Id="rId10" Type="http://schemas.openxmlformats.org/officeDocument/2006/relationships/hyperlink" Target="http://www.mmuncii.ro/j33/index.php/ro/transparenta/proiecte-in-dezbatere/4076-2015-10-08-proiecthg-strateg-diz" TargetMode="External"/><Relationship Id="rId4" Type="http://schemas.microsoft.com/office/2007/relationships/stylesWithEffects" Target="stylesWithEffects.xml"/><Relationship Id="rId9" Type="http://schemas.openxmlformats.org/officeDocument/2006/relationships/hyperlink" Target="http://www.mmuncii.ro/j33/images/Documente/Munca/2014-DOES/2014-01-31_Anexa1_Strategia_de_Ocupare.pdf" TargetMode="External"/><Relationship Id="rId14" Type="http://schemas.openxmlformats.org/officeDocument/2006/relationships/hyperlink" Target="http://www.alegetidrumul.ro/ruta-scolara/3-an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260D8E-2023-43B2-8143-A945E66383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Pages>
  <Words>769</Words>
  <Characters>4466</Characters>
  <Application>Microsoft Office Word</Application>
  <DocSecurity>0</DocSecurity>
  <Lines>37</Lines>
  <Paragraphs>10</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5225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Mariana Acatrinei</dc:creator>
  <cp:lastModifiedBy>Florin</cp:lastModifiedBy>
  <cp:revision>16</cp:revision>
  <dcterms:created xsi:type="dcterms:W3CDTF">2018-09-26T08:09:00Z</dcterms:created>
  <dcterms:modified xsi:type="dcterms:W3CDTF">2018-10-19T11:15:00Z</dcterms:modified>
</cp:coreProperties>
</file>